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240" w:line="240" w:lineRule="auto"/>
        <w:ind w:left="567" w:right="0" w:hanging="567"/>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Φύλλο οδηγιών χρήσης: Πληροφορίες για τον ασθενή</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240" w:line="240" w:lineRule="auto"/>
        <w:ind w:left="567" w:right="0" w:hanging="567"/>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 20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mg δισκία</w:t>
      </w:r>
      <w:r w:rsidDel="00000000" w:rsidR="00000000" w:rsidRPr="00000000">
        <w:rPr>
          <w:rtl w:val="0"/>
        </w:rPr>
      </w:r>
    </w:p>
    <w:p w:rsidR="00000000" w:rsidDel="00000000" w:rsidP="00000000" w:rsidRDefault="00000000" w:rsidRPr="00000000" w14:paraId="00000004">
      <w:pPr>
        <w:spacing w:line="240" w:lineRule="auto"/>
        <w:ind w:left="567"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Βιλαστίνη</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έχετε περαιτέρω απορίες, ρωτήστε το γιατρό ή το φαρμακοποιό σας.</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8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παρατηρήσετε κάποια ανεπιθύμητη ενέργεια, ενημερώστε το γιατρό ή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Τι περιέχει το παρόν φύλλο οδηγιών:</w:t>
      </w:r>
    </w:p>
    <w:p w:rsidR="00000000" w:rsidDel="00000000" w:rsidP="00000000" w:rsidRDefault="00000000" w:rsidRPr="00000000" w14:paraId="000000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07" w:right="0" w:hanging="11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Τι είναι το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BILAZ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και ποια είναι η χρήση του</w:t>
      </w:r>
    </w:p>
    <w:p w:rsidR="00000000" w:rsidDel="00000000" w:rsidP="00000000" w:rsidRDefault="00000000" w:rsidRPr="00000000" w14:paraId="0000000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07" w:right="0" w:hanging="11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Τι πρέπει να γνωρίζετε πριν πάρετε το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BILAZ</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07" w:right="0" w:hanging="11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Πώς να πάρετε τo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BILAZ</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07" w:right="0" w:hanging="11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Πιθανές ανεπιθύμητες ενέργειες</w:t>
      </w:r>
    </w:p>
    <w:p w:rsidR="00000000" w:rsidDel="00000000" w:rsidP="00000000" w:rsidRDefault="00000000" w:rsidRPr="00000000" w14:paraId="0000001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07" w:right="0" w:hanging="11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Πώς να φυλάσσετε τo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BILAZ</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007" w:right="0" w:hanging="11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Περιεχόμενα της συσκευασίας και λοιπές πληροφορίες</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1. </w:t>
        <w:tab/>
      </w:r>
      <w:r w:rsidDel="00000000" w:rsidR="00000000" w:rsidRPr="00000000">
        <w:rPr>
          <w:rFonts w:ascii="Times New Roman" w:cs="Times New Roman" w:eastAsia="Times New Roman" w:hAnsi="Times New Roman"/>
          <w:b w:val="1"/>
          <w:sz w:val="22"/>
          <w:szCs w:val="22"/>
          <w:rtl w:val="0"/>
        </w:rPr>
        <w:t xml:space="preserve">Τι είναι το Bilaz και ποια είναι η χρήση του</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Τo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BILAZ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περιέχει τη δραστική ουσία βιλαστίνη, η οποία είναι ένα αντιϊσταμινικό. Τo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BILAZ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χρησιμοποιείται για την ανακούφιση των συμπτωμάτων από αλλεργική ρινίτιδα (φτέρνισμα, μύτη με φαγούρα, με καταρροή, βουλωμένη και ερυθρά μάτια με δακρύρροια) και από άλλες μορφές αλλεργικής ρινίτιδας. Μπορεί να χρησιμοποιηθεί επίσης για τη θεραπεία των κνησμωδών δερματικών εξανθημάτων (εξανθήματα ή κνίδωση).</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2. </w:t>
        <w:tab/>
      </w:r>
      <w:r w:rsidDel="00000000" w:rsidR="00000000" w:rsidRPr="00000000">
        <w:rPr>
          <w:rFonts w:ascii="Times New Roman" w:cs="Times New Roman" w:eastAsia="Times New Roman" w:hAnsi="Times New Roman"/>
          <w:b w:val="1"/>
          <w:sz w:val="22"/>
          <w:szCs w:val="22"/>
          <w:rtl w:val="0"/>
        </w:rPr>
        <w:t xml:space="preserve">Τι πρέπει να γνωρίζετε πριν πάρετε το Bilaz</w:t>
      </w: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 πάρετε το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είστε αλλεργικός στη βιλαστίνη ή σε οποιοδήποτε άλλο από τα συστατικά αυτού του φαρμάκου (αναφέρονται στην παράγραφο 6). </w:t>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Προειδοποιήσεις και προφυλάξεις</w:t>
      </w:r>
    </w:p>
    <w:p w:rsidR="00000000" w:rsidDel="00000000" w:rsidP="00000000" w:rsidRDefault="00000000" w:rsidRPr="00000000" w14:paraId="0000001B">
      <w:pPr>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Απευθυνθείτε στον γιατρό ή τον φαρμακοποιό σας πριν χρησιμοποιήσετε το ΒILAZ εάν έχετε μέτρια ή σοβαρή νεφρική δυσλειτουργία και επιπλέον λαμβάνετε άλλα φάρμακα (βλέπε “Άλλα φάρμακα και BILAZ”)</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090"/>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90"/>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Παιδιά</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090"/>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 δίνετε το φάρμακο αυτό σε παιδιά ηλικίας κάτω των 12 ετών.</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υπερβαίνετε τη συνιστώμενη δόση.Αν τα συμπτώματα επιμένουν, συμβουλευτείτε τον γιατρό σας.</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1"/>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Άλλα φάρμακα και BILAZ</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Ενημερώστε τον γιατρό ή τον φαρμακοποιό σας εάν παίρνετε ή έχετε πάρει πρόσφατα ή μπορεί να πάρετε άλλα φάρμακα, συμπεριλαμβανομένων αυτών που λαμβάνονται χωρίς ιατρική συνταγή.</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Συγκεκριμένα, παρακαλείστε να συζητήσετε με τον γιατρό σας εάν παίρνετε κάποιο από τα ακόλουθα φάρμακα:</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Κετοκοναζόλη (αντιμυκητιασικό φάρμακο)</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Ερυθρομυκίνη (αντιβιοτικό)</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Διλτιαζέμη (για τη θεραπεία της στηθάγχης)</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Κυκλοσπορίνη (για τη μείωση της δραστηριότητας του ανοσοποιητικού συστήματος, αποφεύγοντας έτσι την απόρριψη μοσχεύματος ή μείωση της δραστηριότητας της νόσου σε αυτοάνοσες και αλλεργικές διαταραχές,όπως είναι η ψωρίαση, η ατοπική δερματίτιδα και η ρευματοειδής αρθρίτιδα)</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Ριτοναβίρη (για τη θεραπεία του AIDS)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Ριφαμπικίνη (ένα αντιβιοτικό)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Το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µε τροφή, ποτό και οινόπνευμα</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Τα δισκία αυτά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δεν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θα πρέπει να λαμβάνονται με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φαγητό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ή με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χυμό γκρέιπφρουτ ή χυμό άλλου φρούτου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καθώς αυτό θα μειώσει την επίδραση της βιλαστίνης. Για να το αποφύγετε αυτό, μπορείτε: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πάρετε το δισκίο και να περιμένετε για μία ώρα πριν φάτε ή πιείτε φρουτοχυμό ή</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έχετε φάει ή πιει φρουτοχυμό, περιμένετε για δύο ώρες πριν λάβετε το δισκίο</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βιλαστίνη, στη συνιστώμενη δόση (20mg), δεν αυξάνει την υπνηλία που προκαλείται από το οινόπνευμα.</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Κύηση, θηλασμός και γονιμότητα</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Δεν υπάρχουν ή υπάρχουν περιορισμένα δεδομένα από τη χρήση της βιλαστίνης σε έγκυες γυναίκες και κατά τη διάρκεια του θηλασμού και σχετικά με τις επιδράσεις στη γονιμότητα.</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 Ζητήστε τη συμβουλή του γιατρού ή του φαρμακοποιού σας πριν πάρετε οποιοδήποτε φάρμακο.</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Οδήγηση και χειρισμός μηχανημάτων</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αποδειχθεί ότι η θεραπεία με 20 mg βιλαστίνης δεν επηρεάζει την ικανότητα οδήγησης σε ενήλικες. Ωστόσο, η απάντηση στο φάρμακο μπορεί να είναι διαφορετική σε κάθε ασθενή. Επομένως, θα πρέπει να ελέγξετε τον τρόπο που επηρεάζει αυτό το φάρμακο πριν οδηγήσετε ή χειριστείτε μηχανήματα.</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ind w:firstLine="142"/>
        <w:rPr/>
      </w:pPr>
      <w:r w:rsidDel="00000000" w:rsidR="00000000" w:rsidRPr="00000000">
        <w:rPr>
          <w:b w:val="1"/>
          <w:rtl w:val="0"/>
        </w:rPr>
        <w:t xml:space="preserve">3.     </w:t>
      </w:r>
      <w:r w:rsidDel="00000000" w:rsidR="00000000" w:rsidRPr="00000000">
        <w:rPr>
          <w:rFonts w:ascii="Times New Roman" w:cs="Times New Roman" w:eastAsia="Times New Roman" w:hAnsi="Times New Roman"/>
          <w:b w:val="1"/>
          <w:sz w:val="22"/>
          <w:szCs w:val="22"/>
          <w:rtl w:val="0"/>
        </w:rPr>
        <w:t xml:space="preserve">Πώς να πάρετε το Bilaz</w:t>
      </w:r>
      <w:r w:rsidDel="00000000" w:rsidR="00000000" w:rsidRPr="00000000">
        <w:rPr>
          <w:rtl w:val="0"/>
        </w:rPr>
      </w:r>
    </w:p>
    <w:p w:rsidR="00000000" w:rsidDel="00000000" w:rsidP="00000000" w:rsidRDefault="00000000" w:rsidRPr="00000000" w14:paraId="00000039">
      <w:pPr>
        <w:ind w:left="567" w:firstLine="0"/>
        <w:rPr/>
      </w:pPr>
      <w:r w:rsidDel="00000000" w:rsidR="00000000" w:rsidRPr="00000000">
        <w:rPr>
          <w:rFonts w:ascii="Times New Roman" w:cs="Times New Roman" w:eastAsia="Times New Roman" w:hAnsi="Times New Roman"/>
          <w:sz w:val="22"/>
          <w:szCs w:val="22"/>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r w:rsidDel="00000000" w:rsidR="00000000" w:rsidRPr="00000000">
        <w:rPr>
          <w:rtl w:val="0"/>
        </w:rPr>
        <w:t xml:space="preserve">.</w:t>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24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συνιστώμενη δόση στους ενήλικες, συμπεριλαμβανομένων των ηλικιωμένων και των εφήβων ηλικίας 12 ετών και άνω, είναι 1 δισκίο (20mg) την ημέρα.</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δισκίο είναι για χρήση από του στόματος.</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δισκίο πρέπει να λαμβάνεται μία ώρα πριν ή δύο ώρες μετά την λήψη τροφής ή χυμό φρούτου(βλέπε παράγραφο 2, “Το Bilaz µε τροφή, ποτό και οινόπνευμα”).</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Καταπίνετε το δισκίο με ένα ποτήρι νερό.</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εγκοπή υπάρχει μόνο για να σας βοηθήσει στη θραύση του δισκίου σε περίπτωση που δυσκολεύεστε να το καταπιείτε ολόκληρο.</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Όσον αφορά στη διάρκεια της θεραπείας, ο γιατρός θα προσδιορίσει το είδος της ασθένειας από την οποία πάσχετε και θα καθορίσει πόσο καιρό πρέπει να πάρετε το Bilaz.</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Χρήση σε παιδιά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090"/>
        </w:tabs>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Άλλες μορφές αυτού του φαρμάκου –bilastine 10 mg δισκία διασπειρόμενα στο στόμα ή bilastine 2.5 mg/mL πόσιμο διάλυμα- μπορεί να είναι περισσότερο κατάλληλες για παιδιά</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έως 11 ετών με σωματικό βάρος τουλάχιστον 20 kg - ρωτήστε το γιατρό ή το φαρμακοποιό σας.</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 χορηγείτε αυτό το φάρμακο σε παιδιά ηλικίας κάτω των 6 ετών με σωματικό βάρος κάτω των 20 kg, εφόσον δεν υπάρχουν επαρκή δεδομένα.</w:t>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Εάν πάρετε μεγαλύτερη δόση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από την κανονική</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εσείς, ή κάποιο άλλο άτομο, έχετε πάρει πάρα πολλά δισκία Bilaz, ενημερώστε τον γιατρό ή τον φαρμακοποιό σας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αμέσως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ή πηγαίνετε αμέσως στο πλησιέστερο νοσοκομείο, στη μονάδα για τα επείγοντα περιστατικά. Παρακαλείσθε να θυμηθείτε να πάρετε μαζί σας το κουτί του φαρμάκου αυτού ή αυτό το φύλλο οδηγιών χρήσης.</w:t>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Εάν ξεχάσετε να πάρετε το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20mg δισκία</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πάρετε διπλή δόση για να αναπληρώσετε τη δόση που ξεχάσατε.</w:t>
      </w:r>
    </w:p>
    <w:p w:rsidR="00000000" w:rsidDel="00000000" w:rsidP="00000000" w:rsidRDefault="00000000" w:rsidRPr="00000000" w14:paraId="0000004A">
      <w:pPr>
        <w:spacing w:after="0" w:before="0" w:lineRule="auto"/>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Αν ξεχάσατε να πάρετε έγκαιρα τη δόση σας, πάρτε τη το συντομότερο δυνατό και στη συνέχεια επιστρέψτε στο κανονικό πρόγραμμα λήψης της δόσης.</w:t>
      </w:r>
    </w:p>
    <w:p w:rsidR="00000000" w:rsidDel="00000000" w:rsidP="00000000" w:rsidRDefault="00000000" w:rsidRPr="00000000" w14:paraId="0000004B">
      <w:pPr>
        <w:spacing w:after="0" w:before="0" w:lineRule="auto"/>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C">
      <w:pPr>
        <w:spacing w:after="0" w:before="0" w:lineRule="auto"/>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Εάν έχετε περισσότερες ερωτήσεις σχετικά με τη χρήση αυτού του φαρμάκου, ρωτήστε το γιατρό ή τον φαρμακοποιό σας.</w:t>
      </w:r>
    </w:p>
    <w:p w:rsidR="00000000" w:rsidDel="00000000" w:rsidP="00000000" w:rsidRDefault="00000000" w:rsidRPr="00000000" w14:paraId="0000004D">
      <w:pPr>
        <w:spacing w:after="0" w:before="0" w:lineRule="auto"/>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ind w:left="142" w:firstLine="0"/>
        <w:rPr/>
      </w:pPr>
      <w:r w:rsidDel="00000000" w:rsidR="00000000" w:rsidRPr="00000000">
        <w:rPr>
          <w:b w:val="1"/>
          <w:rtl w:val="0"/>
        </w:rPr>
        <w:t xml:space="preserve">4. </w:t>
        <w:tab/>
      </w:r>
      <w:r w:rsidDel="00000000" w:rsidR="00000000" w:rsidRPr="00000000">
        <w:rPr>
          <w:rFonts w:ascii="Times New Roman" w:cs="Times New Roman" w:eastAsia="Times New Roman" w:hAnsi="Times New Roman"/>
          <w:b w:val="1"/>
          <w:sz w:val="22"/>
          <w:szCs w:val="22"/>
          <w:rtl w:val="0"/>
        </w:rPr>
        <w:t xml:space="preserve">Πιθανές ανεπιθύμητες ενέργειες</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tab/>
        <w:br w:type="textWrapping"/>
        <w:t xml:space="preserve">Εάν εμφανίσετε συμπτώματα αλλεργικής αντίδρασης οι ενδείξεις της οποίας μπορεί να περιλαμβάνουν δυσκολία στην αναπνοή, ζάλη, κατάρρευση ή απώλεια συνείδησης, πρήξιμο στο πρόσωπο, τα χείλη, τη γλώσσα ή τον λαιμό και/ή πρήξιμο και ερυθρότητα του δέρματος, σταματήστε να παίρνετε το φάρμακο και ζητήστε αμέσως επείγουσα ιατρική συμβουλή.</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Άλλες ανεπιθύμητες ενέργειες που μπορεί να εμφανιστούν σε ενήλικες και εφήβους είναι: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Συχνές: μπορεί να επηρεάσουν έως  1 στους 10 ανθρώπους</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πονοκέφαλος</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υπνηλία</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Όχι συχνές: μπορεί να επηρεάσουν έως 1 στους 100 ανθρώπους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μη φυσιολογικό καρδιακό ίχνος στο ΗΚΓ</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αιματολογικές εξετάσεις που δείχνουν αλλαγές στον τρόπο λειτουργίας του ήπατος (συκώτι)</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πόνος στο στομάχι</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κόπωση</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αυξημένη όρεξη</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ακανόνιστος καρδιακός ρυθμός</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σωματικού βάρους</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ναυτία (αίσθημα αδιαθεσίας)</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άγχος</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ξηρότητα ή δυσάρεστο αίσθημα στη μύτη</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πόνος στην κοιλιά</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διάρροια</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γαστρίτιδα (φλεγμονή του στομαχικού τοιχώματος)</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ίλιγγος (αίσθημα ζάλης ή περιστροφής)</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αίσθημα αδυναμίας</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δίψα</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δύσπνοια (δυσκολία στην αναπνοή)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ξηροστομία</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δυσπεψία</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κνησμός</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πληγές εκ ψύχους (επιχείλιος έρπης)</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πυρετός</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εμβοές (κουδούνισμα στα αυτιά)</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δυσκολία στον ύπνο</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αιματολογικές εξετάσεις που δείχνουν αλλαγές στον τρόπο λειτουργίας των νεφρών</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των λιπιδίων του αίματος</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 γνωστή συχνότητα: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δεν μπορεί να εκτιμηθεί από τα διαθέσιμα δεδομένα</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Αίσθημα παλμών (αίσθηση παλμών της καρδιάς σας)</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Ταχυκαρδία (γρήγορος καρδιακός παλμός)</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8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Έμετος</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Οι ανεπιθύμητες ενέργειες που μπορεί να εμφανιστούν σε παιδιά είναι:</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Συχνές: μπορεί να επηρεάσουν έως 1 στα 10 άτομα</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ρινίτιδα (ρινικός ερεθισμός)</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αλλεργική επιπεφυκίτιδα (ερεθισμός στα μάτια)</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πονοκέφαλος</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στομαχόπονος (κοιλιακό / άνω κοιλιακό άλγος)</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Όχι συχνές: μπορεί να επηρεάσουν έως 1 στα 100 άτομα</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ερεθισμός ματιών</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ζάλη</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απώλεια αισθήσεων</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διάρροια</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ναυτία (αίσθημα ασθένειας)</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πρήξιμο χειλιών</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έκζεμα</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κνίδωση (εξάνθημα)</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εξασθένηση</w:t>
      </w:r>
    </w:p>
    <w:p w:rsidR="00000000" w:rsidDel="00000000" w:rsidP="00000000" w:rsidRDefault="00000000" w:rsidRPr="00000000" w14:paraId="00000089">
      <w:pPr>
        <w:ind w:firstLine="567"/>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A">
      <w:pPr>
        <w:keepNext w:val="1"/>
        <w:keepLines w:val="1"/>
        <w:ind w:firstLine="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Αναφορά ανεπιθύμητων ενεργειών</w:t>
      </w:r>
    </w:p>
    <w:p w:rsidR="00000000" w:rsidDel="00000000" w:rsidP="00000000" w:rsidRDefault="00000000" w:rsidRPr="00000000" w14:paraId="0000008B">
      <w:pPr>
        <w:keepNext w:val="1"/>
        <w:keepLines w:val="1"/>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000000" w:rsidDel="00000000" w:rsidP="00000000" w:rsidRDefault="00000000" w:rsidRPr="00000000" w14:paraId="0000008C">
      <w:pPr>
        <w:spacing w:after="0" w:before="0" w:line="240" w:lineRule="auto"/>
        <w:ind w:firstLine="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Ελλάδα</w:t>
      </w:r>
    </w:p>
    <w:p w:rsidR="00000000" w:rsidDel="00000000" w:rsidP="00000000" w:rsidRDefault="00000000" w:rsidRPr="00000000" w14:paraId="0000008D">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Εθνικός Οργανισμός Φαρμάκων</w:t>
      </w:r>
    </w:p>
    <w:p w:rsidR="00000000" w:rsidDel="00000000" w:rsidP="00000000" w:rsidRDefault="00000000" w:rsidRPr="00000000" w14:paraId="0000008E">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Μεσογείων 284</w:t>
      </w:r>
    </w:p>
    <w:p w:rsidR="00000000" w:rsidDel="00000000" w:rsidP="00000000" w:rsidRDefault="00000000" w:rsidRPr="00000000" w14:paraId="0000008F">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GR-15562 Χολαργός, Αθήνα</w:t>
      </w:r>
    </w:p>
    <w:p w:rsidR="00000000" w:rsidDel="00000000" w:rsidP="00000000" w:rsidRDefault="00000000" w:rsidRPr="00000000" w14:paraId="00000090">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Τηλ: + 30 2132040380/337</w:t>
      </w:r>
    </w:p>
    <w:p w:rsidR="00000000" w:rsidDel="00000000" w:rsidP="00000000" w:rsidRDefault="00000000" w:rsidRPr="00000000" w14:paraId="00000091">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Φαξ: + 30 2106549585 </w:t>
      </w:r>
    </w:p>
    <w:p w:rsidR="00000000" w:rsidDel="00000000" w:rsidP="00000000" w:rsidRDefault="00000000" w:rsidRPr="00000000" w14:paraId="00000092">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Ιστότοπος: </w:t>
      </w:r>
      <w:hyperlink r:id="rId7">
        <w:r w:rsidDel="00000000" w:rsidR="00000000" w:rsidRPr="00000000">
          <w:rPr>
            <w:rFonts w:ascii="Times New Roman" w:cs="Times New Roman" w:eastAsia="Times New Roman" w:hAnsi="Times New Roman"/>
            <w:sz w:val="22"/>
            <w:szCs w:val="22"/>
            <w:rtl w:val="0"/>
          </w:rPr>
          <w:t xml:space="preserve">http://www.eof.gr</w:t>
        </w:r>
      </w:hyperlink>
      <w:r w:rsidDel="00000000" w:rsidR="00000000" w:rsidRPr="00000000">
        <w:rPr>
          <w:rtl w:val="0"/>
        </w:rPr>
      </w:r>
    </w:p>
    <w:p w:rsidR="00000000" w:rsidDel="00000000" w:rsidP="00000000" w:rsidRDefault="00000000" w:rsidRPr="00000000" w14:paraId="00000093">
      <w:pPr>
        <w:spacing w:after="0" w:before="0" w:line="240" w:lineRule="auto"/>
        <w:ind w:firstLine="567"/>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4">
      <w:pPr>
        <w:spacing w:after="0" w:before="0" w:line="240" w:lineRule="auto"/>
        <w:ind w:firstLine="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Κύπρος</w:t>
      </w:r>
    </w:p>
    <w:p w:rsidR="00000000" w:rsidDel="00000000" w:rsidP="00000000" w:rsidRDefault="00000000" w:rsidRPr="00000000" w14:paraId="00000095">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Φαρμακευτικές Υπηρεσίες</w:t>
      </w:r>
    </w:p>
    <w:p w:rsidR="00000000" w:rsidDel="00000000" w:rsidP="00000000" w:rsidRDefault="00000000" w:rsidRPr="00000000" w14:paraId="00000096">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Υπουργείο Υγείας</w:t>
      </w:r>
    </w:p>
    <w:p w:rsidR="00000000" w:rsidDel="00000000" w:rsidP="00000000" w:rsidRDefault="00000000" w:rsidRPr="00000000" w14:paraId="00000097">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CY-1475 Λευκωσία</w:t>
      </w:r>
    </w:p>
    <w:p w:rsidR="00000000" w:rsidDel="00000000" w:rsidP="00000000" w:rsidRDefault="00000000" w:rsidRPr="00000000" w14:paraId="00000098">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Φαξ: + 357 22608649</w:t>
      </w:r>
    </w:p>
    <w:p w:rsidR="00000000" w:rsidDel="00000000" w:rsidP="00000000" w:rsidRDefault="00000000" w:rsidRPr="00000000" w14:paraId="00000099">
      <w:pPr>
        <w:spacing w:after="0" w:before="0" w:line="240"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Ιστότοπος: </w:t>
      </w:r>
      <w:hyperlink r:id="rId8">
        <w:r w:rsidDel="00000000" w:rsidR="00000000" w:rsidRPr="00000000">
          <w:rPr>
            <w:rFonts w:ascii="Times New Roman" w:cs="Times New Roman" w:eastAsia="Times New Roman" w:hAnsi="Times New Roman"/>
            <w:sz w:val="22"/>
            <w:szCs w:val="22"/>
            <w:rtl w:val="0"/>
          </w:rPr>
          <w:t xml:space="preserve">www.moh.gov.cy/phs</w:t>
        </w:r>
      </w:hyperlink>
      <w:r w:rsidDel="00000000" w:rsidR="00000000" w:rsidRPr="00000000">
        <w:rPr>
          <w:rtl w:val="0"/>
        </w:rPr>
      </w:r>
    </w:p>
    <w:p w:rsidR="00000000" w:rsidDel="00000000" w:rsidP="00000000" w:rsidRDefault="00000000" w:rsidRPr="00000000" w14:paraId="0000009A">
      <w:pPr>
        <w:keepNext w:val="1"/>
        <w:keepLines w:val="1"/>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ind w:left="142" w:firstLine="0"/>
        <w:rPr/>
      </w:pPr>
      <w:r w:rsidDel="00000000" w:rsidR="00000000" w:rsidRPr="00000000">
        <w:rPr>
          <w:b w:val="1"/>
          <w:rtl w:val="0"/>
        </w:rPr>
        <w:t xml:space="preserve">5. </w:t>
        <w:tab/>
      </w:r>
      <w:r w:rsidDel="00000000" w:rsidR="00000000" w:rsidRPr="00000000">
        <w:rPr>
          <w:rFonts w:ascii="Times New Roman" w:cs="Times New Roman" w:eastAsia="Times New Roman" w:hAnsi="Times New Roman"/>
          <w:b w:val="1"/>
          <w:sz w:val="22"/>
          <w:szCs w:val="22"/>
          <w:rtl w:val="0"/>
        </w:rPr>
        <w:t xml:space="preserve">Πώς να φυλάσσετε το Bilaz</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μη χρησιμοποιείτε αυτό το φάρμακο μετά την ημερομηνία λήξης, που αναφέρεται στο κουτί και στην κυψέλη (blister) μετά την ένδειξη ΛΗΞΗ. Η ημερομηνία λήξης είναι η τελευταία ημέρα του μήνα που αναφέρεται εκεί.</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Αυτό το φάρμακο δεν απαιτεί ειδικές οδηγίες φύλαξης.</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Μην πετάτε φάρμακα  στο νερό της αποχέτευσης ή στα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6. </w:t>
        <w:tab/>
      </w:r>
      <w:r w:rsidDel="00000000" w:rsidR="00000000" w:rsidRPr="00000000">
        <w:rPr>
          <w:rFonts w:ascii="Times New Roman" w:cs="Times New Roman" w:eastAsia="Times New Roman" w:hAnsi="Times New Roman"/>
          <w:b w:val="1"/>
          <w:sz w:val="22"/>
          <w:szCs w:val="22"/>
          <w:rtl w:val="0"/>
        </w:rPr>
        <w:t xml:space="preserve">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Τι περιέχει τo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w:t>
      </w:r>
      <w:r w:rsidDel="00000000" w:rsidR="00000000" w:rsidRPr="00000000">
        <w:rPr>
          <w:rtl w:val="0"/>
        </w:rPr>
      </w:r>
    </w:p>
    <w:p w:rsidR="00000000" w:rsidDel="00000000" w:rsidP="00000000" w:rsidRDefault="00000000" w:rsidRPr="00000000" w14:paraId="000000A4">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720" w:right="0" w:hanging="36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δραστική ουσία είναι η βιλαστίνη. Κάθε δισκίο περιέχει 20 mg βιλαστίνης.</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Τα άλλα συστατικά είναι κυτταρίνη μικροκρυσταλλική, γλυκολικό νατριούχο άμυλο τύπου A (προερχόμενο από πατάτα), άνυδρο κολλοειδές πυρίτιο, στεατικό μαγνήσιο.</w:t>
      </w:r>
    </w:p>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Εμφάνιση του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BILAZ</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και περιεχόμενα της συσκευασίας</w:t>
      </w:r>
    </w:p>
    <w:p w:rsidR="00000000" w:rsidDel="00000000" w:rsidP="00000000" w:rsidRDefault="00000000" w:rsidRPr="00000000" w14:paraId="000000A8">
      <w:pPr>
        <w:spacing w:after="0" w:before="0" w:lineRule="auto"/>
        <w:ind w:left="56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Τα </w:t>
      </w:r>
      <w:r w:rsidDel="00000000" w:rsidR="00000000" w:rsidRPr="00000000">
        <w:rPr>
          <w:rFonts w:ascii="Times New Roman" w:cs="Times New Roman" w:eastAsia="Times New Roman" w:hAnsi="Times New Roman"/>
          <w:smallCaps w:val="1"/>
          <w:sz w:val="22"/>
          <w:szCs w:val="22"/>
          <w:rtl w:val="0"/>
        </w:rPr>
        <w:t xml:space="preserve">BILAZ</w:t>
      </w:r>
      <w:r w:rsidDel="00000000" w:rsidR="00000000" w:rsidRPr="00000000">
        <w:rPr>
          <w:rFonts w:ascii="Times New Roman" w:cs="Times New Roman" w:eastAsia="Times New Roman" w:hAnsi="Times New Roman"/>
          <w:sz w:val="22"/>
          <w:szCs w:val="22"/>
          <w:rtl w:val="0"/>
        </w:rPr>
        <w:t xml:space="preserve"> δισκία είναι λευκά, ωοειδή, αμφίκυρτα με χαραγή (μήκος 10mm, πλάτος 5mm).</w:t>
      </w:r>
    </w:p>
    <w:p w:rsidR="00000000" w:rsidDel="00000000" w:rsidP="00000000" w:rsidRDefault="00000000" w:rsidRPr="00000000" w14:paraId="000000A9">
      <w:pPr>
        <w:ind w:left="567"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Τα δισκία παρέχονται σε κυψέλες (blisters) των 10, 20, 30, 40 ή 50 δισκίων.</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μην κυκλοφορούν όλες οι συσκευασίες.</w:t>
      </w:r>
      <w:r w:rsidDel="00000000" w:rsidR="00000000" w:rsidRPr="00000000">
        <w:rPr>
          <w:rtl w:val="0"/>
        </w:rPr>
      </w:r>
    </w:p>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Κάτοχος Άδειας Κυκλοφορίας και Παρασκευαστής</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Κάτοχος Άδειας Κυκλοφορίας</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Menarini International Operations Luxembourg SA</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Avenue de la Gare,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L-1611 Luxembourg, Λουξεμβούργο</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Τοπικός αντιπρόσωπος στην Ελλάδα</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Menarini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Hellas A.E.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Πάτμου 16-18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15123 Μαρούσι</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Αττική</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Τηλ: 210 8316111-13</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Φαξ: 210 8317343</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Παρασκευαστής: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FAES FARMA ,S.A.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Maximo Aguirre, 14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48940 Leioa (Vizcaya,) Iσπανία</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Α. Μenarini Manufacturing Logistics and Services Srl</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Campo di Pile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L’Aquila</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Ιταλία</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Menarini Von Heyden GmbH</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Leipziger Strasse 7-13, 01097</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Dresden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Γερμανία</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1"/>
        <w:keepLines w:val="0"/>
        <w:widowControl w:val="1"/>
        <w:pBdr>
          <w:top w:space="0" w:sz="0" w:val="nil"/>
          <w:left w:space="0" w:sz="0" w:val="nil"/>
          <w:bottom w:space="0" w:sz="0" w:val="nil"/>
          <w:right w:space="0" w:sz="0" w:val="nil"/>
          <w:between w:space="0" w:sz="0" w:val="nil"/>
        </w:pBdr>
        <w:shd w:fill="auto" w:val="clear"/>
        <w:tabs>
          <w:tab w:val="left" w:pos="568"/>
          <w:tab w:val="left" w:pos="1701"/>
          <w:tab w:val="right" w:pos="9356"/>
        </w:tabs>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Αυτό το φαρμακευτικό προϊόν έχει εγκριθεί στις χώρες-μέλη του ΕΟΧ με τις ακόλουθες ονομασίες:</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DE/H/2300/001</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Austria: Nasitop 20 mg Tabletten</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Belgium: Bellozal 20 mg Tablet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Bulgaria: Fortecal 20 mg Таблетка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Cyprus: Bilaz 20 mg Δισκίο</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Czech Republic: Xados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Denmark: Revitelle, tabletter 20 mg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Estonia: Opexa</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Finland: Revitelle 20 mg Tabletti</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France: Bilaska 20 mg Comprimé</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Germany: Bilaxten 20 mg Tabletten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Greece: Bilaz 20 mg Δισκίο</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Hungary: Lendin 20 mg tabletta</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Iceland: Bilaxten 20 mg töflur</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Ireland: Drynol 20 mg tablets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Italy: Olisir 20 mg Compressa</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Latvia: Opexa 20 mg tabletes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Lithuania: Opexa 20 mg Tabletìs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Luxembourg: Bellozal 20 mg Tablet</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Malta: Gosall 20 mg tablets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Norway: Zilas 20 mg tablett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Poland: Clatra</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Portugal: Lergonix 20 mg Comprimido</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Romania: Borenar 20 mg comprimate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Slovak Republic: Omarit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Slovenia: Bilador 20 mg tablete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Spain: Ibis 20 mg comprimidos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Sweden: Bilaxten 20 mg Tablett</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United Kingdom: Ilaxten 20 mg tablets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Το παρόν φύλλο οδηγιών χρήσης αναθεωρήθηκε για τελευταία φορά στις 26/03/2021</w:t>
      </w:r>
    </w:p>
    <w:p w:rsidR="00000000" w:rsidDel="00000000" w:rsidP="00000000" w:rsidRDefault="00000000" w:rsidRPr="00000000" w14:paraId="000000EB">
      <w:pPr>
        <w:rPr>
          <w:rFonts w:ascii="Times New Roman" w:cs="Times New Roman" w:eastAsia="Times New Roman" w:hAnsi="Times New Roman"/>
          <w:sz w:val="22"/>
          <w:szCs w:val="22"/>
        </w:rPr>
      </w:pPr>
      <w:r w:rsidDel="00000000" w:rsidR="00000000" w:rsidRPr="00000000">
        <w:rPr>
          <w:rtl w:val="0"/>
        </w:rPr>
      </w:r>
    </w:p>
    <w:sectPr>
      <w:pgSz w:h="16838" w:w="11906" w:orient="portrait"/>
      <w:pgMar w:bottom="1258" w:top="107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0" w:hanging="57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decimal"/>
      <w:lvlText w:val="%2."/>
      <w:lvlJc w:val="left"/>
      <w:pPr>
        <w:ind w:left="2007" w:hanging="360"/>
      </w:pPr>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l-GR"/>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E7B0C"/>
    <w:pPr>
      <w:spacing w:after="120" w:before="120" w:line="240" w:lineRule="atLeast"/>
      <w:jc w:val="both"/>
    </w:pPr>
    <w:rPr>
      <w:rFonts w:ascii="Arial" w:hAnsi="Arial"/>
      <w:snapToGrid w:val="0"/>
      <w:lang w:eastAsia="zh-CN"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PCTITEL1" w:customStyle="1">
    <w:name w:val="SPC TITEL1"/>
    <w:basedOn w:val="Normal"/>
    <w:rsid w:val="006E7B0C"/>
    <w:pPr>
      <w:keepNext w:val="1"/>
      <w:tabs>
        <w:tab w:val="left" w:pos="568"/>
        <w:tab w:val="left" w:pos="1701"/>
        <w:tab w:val="right" w:pos="9356"/>
      </w:tabs>
      <w:spacing w:before="240"/>
      <w:ind w:left="567" w:hanging="567"/>
    </w:pPr>
    <w:rPr>
      <w:b w:val="1"/>
      <w:caps w:val="1"/>
      <w:sz w:val="22"/>
      <w:lang w:val="en-GB"/>
    </w:rPr>
  </w:style>
  <w:style w:type="paragraph" w:styleId="SPCTITEL4" w:customStyle="1">
    <w:name w:val="SPC TITEL 4"/>
    <w:basedOn w:val="Normal"/>
    <w:rsid w:val="006E7B0C"/>
    <w:pPr>
      <w:keepNext w:val="1"/>
      <w:tabs>
        <w:tab w:val="left" w:pos="568"/>
        <w:tab w:val="left" w:pos="1701"/>
        <w:tab w:val="right" w:pos="9356"/>
      </w:tabs>
      <w:ind w:left="567"/>
    </w:pPr>
    <w:rPr>
      <w:b w:val="1"/>
      <w:bCs w:val="1"/>
      <w:i w:val="1"/>
      <w:iCs w:val="1"/>
      <w:sz w:val="22"/>
      <w:lang w:val="en-GB"/>
    </w:rPr>
  </w:style>
  <w:style w:type="paragraph" w:styleId="SPCText" w:customStyle="1">
    <w:name w:val="SPC Text"/>
    <w:basedOn w:val="Normal"/>
    <w:link w:val="SPCTextChar"/>
    <w:rsid w:val="006E7B0C"/>
    <w:pPr>
      <w:ind w:left="567"/>
    </w:pPr>
    <w:rPr>
      <w:lang w:val="en-GB"/>
    </w:rPr>
  </w:style>
  <w:style w:type="paragraph" w:styleId="SPCTITEL3" w:customStyle="1">
    <w:name w:val="SPC TITEL 3"/>
    <w:basedOn w:val="Normal"/>
    <w:link w:val="SPCTITEL3Char"/>
    <w:rsid w:val="006E7B0C"/>
    <w:pPr>
      <w:keepNext w:val="1"/>
      <w:tabs>
        <w:tab w:val="left" w:pos="568"/>
        <w:tab w:val="left" w:pos="1701"/>
        <w:tab w:val="right" w:pos="9356"/>
      </w:tabs>
      <w:ind w:left="567"/>
    </w:pPr>
    <w:rPr>
      <w:b w:val="1"/>
      <w:bCs w:val="1"/>
      <w:sz w:val="22"/>
      <w:lang w:val="en-GB"/>
    </w:rPr>
  </w:style>
  <w:style w:type="character" w:styleId="tw4winMark" w:customStyle="1">
    <w:name w:val="tw4winMark"/>
    <w:rsid w:val="006E7B0C"/>
    <w:rPr>
      <w:rFonts w:ascii="Courier New" w:hAnsi="Courier New"/>
      <w:vanish w:val="1"/>
      <w:color w:val="800080"/>
      <w:sz w:val="24"/>
      <w:vertAlign w:val="subscript"/>
    </w:rPr>
  </w:style>
  <w:style w:type="paragraph" w:styleId="BalloonText">
    <w:name w:val="Balloon Text"/>
    <w:basedOn w:val="Normal"/>
    <w:semiHidden w:val="1"/>
    <w:rsid w:val="006E7B0C"/>
    <w:rPr>
      <w:rFonts w:ascii="Times New Roman" w:hAnsi="Times New Roman"/>
      <w:sz w:val="16"/>
      <w:szCs w:val="16"/>
    </w:rPr>
  </w:style>
  <w:style w:type="character" w:styleId="tw4winError" w:customStyle="1">
    <w:name w:val="tw4winError"/>
    <w:rsid w:val="006E7B0C"/>
    <w:rPr>
      <w:rFonts w:ascii="Courier New" w:hAnsi="Courier New"/>
      <w:color w:val="00ff00"/>
      <w:sz w:val="40"/>
    </w:rPr>
  </w:style>
  <w:style w:type="character" w:styleId="tw4winTerm" w:customStyle="1">
    <w:name w:val="tw4winTerm"/>
    <w:rsid w:val="006E7B0C"/>
    <w:rPr>
      <w:color w:val="0000ff"/>
    </w:rPr>
  </w:style>
  <w:style w:type="character" w:styleId="tw4winPopup" w:customStyle="1">
    <w:name w:val="tw4winPopup"/>
    <w:rsid w:val="006E7B0C"/>
    <w:rPr>
      <w:rFonts w:ascii="Courier New" w:hAnsi="Courier New"/>
      <w:noProof w:val="1"/>
      <w:color w:val="008000"/>
    </w:rPr>
  </w:style>
  <w:style w:type="character" w:styleId="tw4winJump" w:customStyle="1">
    <w:name w:val="tw4winJump"/>
    <w:rsid w:val="006E7B0C"/>
    <w:rPr>
      <w:rFonts w:ascii="Courier New" w:hAnsi="Courier New"/>
      <w:noProof w:val="1"/>
      <w:color w:val="008080"/>
    </w:rPr>
  </w:style>
  <w:style w:type="character" w:styleId="tw4winExternal" w:customStyle="1">
    <w:name w:val="tw4winExternal"/>
    <w:rsid w:val="006E7B0C"/>
    <w:rPr>
      <w:rFonts w:ascii="Courier New" w:hAnsi="Courier New"/>
      <w:noProof w:val="1"/>
      <w:color w:val="808080"/>
    </w:rPr>
  </w:style>
  <w:style w:type="character" w:styleId="tw4winInternal" w:customStyle="1">
    <w:name w:val="tw4winInternal"/>
    <w:rsid w:val="006E7B0C"/>
    <w:rPr>
      <w:rFonts w:ascii="Courier New" w:hAnsi="Courier New"/>
      <w:noProof w:val="1"/>
      <w:color w:val="ff0000"/>
    </w:rPr>
  </w:style>
  <w:style w:type="character" w:styleId="DONOTTRANSLATE" w:customStyle="1">
    <w:name w:val="DO_NOT_TRANSLATE"/>
    <w:rsid w:val="006E7B0C"/>
    <w:rPr>
      <w:rFonts w:ascii="Courier New" w:hAnsi="Courier New"/>
      <w:noProof w:val="1"/>
      <w:color w:val="800000"/>
    </w:rPr>
  </w:style>
  <w:style w:type="character" w:styleId="SPCTITEL3Char" w:customStyle="1">
    <w:name w:val="SPC TITEL 3 Char"/>
    <w:link w:val="SPCTITEL3"/>
    <w:rsid w:val="00767243"/>
    <w:rPr>
      <w:rFonts w:ascii="Arial" w:eastAsia="SimSun" w:hAnsi="Arial"/>
      <w:b w:val="1"/>
      <w:bCs w:val="1"/>
      <w:snapToGrid w:val="0"/>
      <w:sz w:val="22"/>
      <w:lang w:bidi="ar-SA" w:eastAsia="zh-CN" w:val="en-GB"/>
    </w:rPr>
  </w:style>
  <w:style w:type="character" w:styleId="SPCTextChar" w:customStyle="1">
    <w:name w:val="SPC Text Char"/>
    <w:link w:val="SPCText"/>
    <w:rsid w:val="00767243"/>
    <w:rPr>
      <w:rFonts w:ascii="Arial" w:eastAsia="SimSun" w:hAnsi="Arial"/>
      <w:snapToGrid w:val="0"/>
      <w:lang w:bidi="ar-SA" w:eastAsia="zh-CN" w:val="en-GB"/>
    </w:rPr>
  </w:style>
  <w:style w:type="character" w:styleId="Hyperlink">
    <w:name w:val="Hyperlink"/>
    <w:uiPriority w:val="99"/>
    <w:rsid w:val="00FB661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6DlIT0HeKDf0x8J7pXr5f1y7w==">AMUW2mWqVRoFoBTNIhaSoePxH5EJWfVTDc7qgNujvv15UIP06FowdnUzniysMgcdmZvnQDQcrYaDSFDJvKknEVZMuPAPV3d/48kgSk6S2OObodgQrDtWI1dobFIwtMZPCOucwas7K8vo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2020-05-18T10:14:00Z</dcterms:created>
  <dc:creator>ISABEL</dc:creator>
</cp:coreProperties>
</file>